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CB" w:rsidRPr="00897098" w:rsidRDefault="00560FCB" w:rsidP="00560FCB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  <w:r w:rsidRPr="00897098">
        <w:rPr>
          <w:rFonts w:cs="Arial"/>
          <w:bCs/>
          <w:iCs/>
          <w:szCs w:val="24"/>
          <w:lang w:val="es-ES"/>
        </w:rPr>
        <w:t>CUESTIONARIO UNIDAD 1</w:t>
      </w:r>
    </w:p>
    <w:p w:rsidR="00560FCB" w:rsidRPr="00897098" w:rsidRDefault="00560FCB" w:rsidP="00560FCB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443"/>
        <w:gridCol w:w="576"/>
        <w:gridCol w:w="963"/>
      </w:tblGrid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Un proyecto 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NO </w:t>
            </w: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NS/NC</w:t>
            </w: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1.-</w:t>
            </w:r>
            <w:r w:rsidRPr="00897098">
              <w:rPr>
                <w:rFonts w:cs="Arial"/>
                <w:szCs w:val="24"/>
                <w:lang w:val="es-ES"/>
              </w:rPr>
              <w:t xml:space="preserve"> Es una herramienta de crecimiento y realización personal y colectiva.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2.-Hace al grupo mas aburrido, porque nos hace estar ocupados en compromisos y tareas que nos abruman.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3.-Nos permite aprender cosas nuevas.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4.-Nos hace centrarnos en nosotros mismos y eso mola barbaridad.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5.-Nos da motivos de satisfacción.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6.-Nos permite descubrir un sentido a nuestra vida joven, a nuestras ideas e ilusiones.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7.-Nos proporciona la oportunidad de afrontar retos y esfuerzos para crecer y avanzar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8.-Nos dan la oportunidad de ocupar nuestro tiempo en soñar cosas irrealizables.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9.-Aporta muchas cosas positivas a los grupos de jóvenes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560FCB" w:rsidRPr="00897098" w:rsidTr="00DB0447">
        <w:tc>
          <w:tcPr>
            <w:tcW w:w="7049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10.- Es perseguir una meta y poner en marcha acciones encaminadas a conseguirlas </w:t>
            </w:r>
          </w:p>
        </w:tc>
        <w:tc>
          <w:tcPr>
            <w:tcW w:w="430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560FCB" w:rsidRPr="00897098" w:rsidRDefault="00560FCB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</w:tbl>
    <w:p w:rsidR="00560FCB" w:rsidRPr="00897098" w:rsidRDefault="00560FCB" w:rsidP="00560FCB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p w:rsidR="00FB0C9D" w:rsidRDefault="00560FCB" w:rsidP="00560FCB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CB"/>
    <w:rsid w:val="00560FCB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3F31"/>
  <w15:chartTrackingRefBased/>
  <w15:docId w15:val="{4488BBA7-9526-A941-98E7-BD98D40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CB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2020-03-26T10:11:00Z</dcterms:created>
  <dcterms:modified xsi:type="dcterms:W3CDTF">2020-03-26T10:12:00Z</dcterms:modified>
</cp:coreProperties>
</file>